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2" w:rsidRPr="00F5729A" w:rsidRDefault="009C6332" w:rsidP="009C6332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:rsidR="009C6332" w:rsidRPr="00F5729A" w:rsidRDefault="009C6332" w:rsidP="009C6332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:rsidR="009C6332" w:rsidRPr="003B5443" w:rsidRDefault="009C6332" w:rsidP="009C6332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 w:rsidRPr="003B5443"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</w:t>
      </w:r>
      <w:r w:rsidR="003B5443" w:rsidRPr="003B5443">
        <w:rPr>
          <w:rFonts w:ascii="Arial" w:hAnsi="Arial" w:cs="Arial"/>
          <w:color w:val="auto"/>
          <w:kern w:val="0"/>
          <w:sz w:val="22"/>
          <w:szCs w:val="22"/>
        </w:rPr>
        <w:t xml:space="preserve"> по теме:</w:t>
      </w:r>
    </w:p>
    <w:p w:rsidR="009C6332" w:rsidRPr="00733887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 w:rsidRPr="00733887"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:rsidR="009C6332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 w:rsidRPr="00733887"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:rsidR="0063325C" w:rsidRPr="00733887" w:rsidRDefault="0063325C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:rsidR="0063325C" w:rsidRPr="0063325C" w:rsidRDefault="0063325C" w:rsidP="0063325C">
      <w:pPr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</w:pP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 w:rsidR="00C36183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</w:t>
      </w:r>
      <w:r w:rsidR="00C36183" w:rsidRPr="00C36183">
        <w:rPr>
          <w:rFonts w:ascii="Arial" w:eastAsia="Calibri" w:hAnsi="Arial" w:cs="Arial"/>
          <w:b/>
          <w:color w:val="auto"/>
          <w:kern w:val="0"/>
          <w:sz w:val="24"/>
          <w:szCs w:val="24"/>
          <w:lang w:eastAsia="en-US"/>
        </w:rPr>
        <w:t>21-22 апреля</w:t>
      </w:r>
      <w:r w:rsidRPr="0063325C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2021 года (дистанционное обучение в режиме ВКС)</w:t>
      </w:r>
    </w:p>
    <w:p w:rsidR="0063325C" w:rsidRPr="0063325C" w:rsidRDefault="00747DFF" w:rsidP="00747DF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                          </w:t>
      </w:r>
      <w:r w:rsidR="0063325C" w:rsidRPr="0063325C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>с 2</w:t>
      </w:r>
      <w:r w:rsidR="00C36183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>3 апреля</w:t>
      </w:r>
      <w:r w:rsidR="0063325C" w:rsidRPr="0063325C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2021 г. по </w:t>
      </w:r>
      <w:r w:rsidR="00C36183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>11 мая</w:t>
      </w:r>
      <w:r w:rsidR="0063325C" w:rsidRPr="0063325C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2021 г. (заочная часть)</w:t>
      </w:r>
    </w:p>
    <w:p w:rsidR="00A71C58" w:rsidRPr="00733887" w:rsidRDefault="00A71C58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</w:p>
    <w:p w:rsidR="009C6332" w:rsidRPr="00733887" w:rsidRDefault="009C6332" w:rsidP="007967DE">
      <w:pPr>
        <w:ind w:left="142" w:firstLine="990"/>
        <w:jc w:val="both"/>
        <w:rPr>
          <w:rFonts w:ascii="Arial" w:hAnsi="Arial" w:cs="Arial"/>
          <w:bCs/>
          <w:sz w:val="22"/>
          <w:szCs w:val="22"/>
        </w:rPr>
      </w:pPr>
      <w:r w:rsidRPr="00733887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</w:t>
      </w:r>
      <w:r w:rsidRPr="00733887">
        <w:rPr>
          <w:rFonts w:ascii="Arial" w:hAnsi="Arial" w:cs="Arial"/>
          <w:b/>
          <w:color w:val="auto"/>
          <w:kern w:val="0"/>
          <w:sz w:val="22"/>
          <w:szCs w:val="22"/>
        </w:rPr>
        <w:t xml:space="preserve">    Лектор: </w:t>
      </w:r>
      <w:r w:rsidR="007C599D" w:rsidRPr="00733887">
        <w:rPr>
          <w:rFonts w:ascii="Arial" w:hAnsi="Arial" w:cs="Arial"/>
          <w:b/>
          <w:color w:val="auto"/>
          <w:kern w:val="0"/>
          <w:sz w:val="22"/>
          <w:szCs w:val="22"/>
        </w:rPr>
        <w:t>Тропин Михаил Валерьевич</w:t>
      </w:r>
      <w:r w:rsidR="007C599D" w:rsidRPr="00733887">
        <w:rPr>
          <w:rFonts w:ascii="Arial" w:hAnsi="Arial" w:cs="Arial"/>
          <w:sz w:val="22"/>
          <w:szCs w:val="22"/>
        </w:rPr>
        <w:t xml:space="preserve"> – специалист-практик (опыт работы в </w:t>
      </w:r>
      <w:proofErr w:type="spellStart"/>
      <w:r w:rsidR="007C599D" w:rsidRPr="00733887">
        <w:rPr>
          <w:rFonts w:ascii="Arial" w:hAnsi="Arial" w:cs="Arial"/>
          <w:sz w:val="22"/>
          <w:szCs w:val="22"/>
        </w:rPr>
        <w:t>госзакупках</w:t>
      </w:r>
      <w:proofErr w:type="spellEnd"/>
      <w:r w:rsidR="007C599D" w:rsidRPr="00733887">
        <w:rPr>
          <w:rFonts w:ascii="Arial" w:hAnsi="Arial" w:cs="Arial"/>
          <w:sz w:val="22"/>
          <w:szCs w:val="22"/>
        </w:rPr>
        <w:t xml:space="preserve"> с 2011г. по </w:t>
      </w:r>
      <w:proofErr w:type="spellStart"/>
      <w:r w:rsidR="007C599D" w:rsidRPr="00733887">
        <w:rPr>
          <w:rFonts w:ascii="Arial" w:hAnsi="Arial" w:cs="Arial"/>
          <w:sz w:val="22"/>
          <w:szCs w:val="22"/>
        </w:rPr>
        <w:t>н.</w:t>
      </w:r>
      <w:proofErr w:type="gramStart"/>
      <w:r w:rsidR="007C599D" w:rsidRPr="00733887">
        <w:rPr>
          <w:rFonts w:ascii="Arial" w:hAnsi="Arial" w:cs="Arial"/>
          <w:sz w:val="22"/>
          <w:szCs w:val="22"/>
        </w:rPr>
        <w:t>в</w:t>
      </w:r>
      <w:proofErr w:type="spellEnd"/>
      <w:proofErr w:type="gramEnd"/>
      <w:r w:rsidR="007C599D" w:rsidRPr="00733887">
        <w:rPr>
          <w:rFonts w:ascii="Arial" w:hAnsi="Arial" w:cs="Arial"/>
          <w:sz w:val="22"/>
          <w:szCs w:val="22"/>
        </w:rPr>
        <w:t xml:space="preserve">.), </w:t>
      </w:r>
      <w:proofErr w:type="gramStart"/>
      <w:r w:rsidR="007C599D" w:rsidRPr="00733887">
        <w:rPr>
          <w:rFonts w:ascii="Arial" w:hAnsi="Arial" w:cs="Arial"/>
          <w:sz w:val="22"/>
          <w:szCs w:val="22"/>
        </w:rPr>
        <w:t>преподаватель</w:t>
      </w:r>
      <w:proofErr w:type="gramEnd"/>
      <w:r w:rsidR="007C599D" w:rsidRPr="00733887">
        <w:rPr>
          <w:rFonts w:ascii="Arial" w:hAnsi="Arial" w:cs="Arial"/>
          <w:sz w:val="22"/>
          <w:szCs w:val="22"/>
        </w:rPr>
        <w:t xml:space="preserve"> курсов профессиональной переподготовки и повышения квалификации в рамках 44-ФЗ в Тульском филиале </w:t>
      </w:r>
      <w:proofErr w:type="spellStart"/>
      <w:r w:rsidR="007C599D" w:rsidRPr="00733887">
        <w:rPr>
          <w:rFonts w:ascii="Arial" w:hAnsi="Arial" w:cs="Arial"/>
          <w:sz w:val="22"/>
          <w:szCs w:val="22"/>
        </w:rPr>
        <w:t>Финуниверситета</w:t>
      </w:r>
      <w:proofErr w:type="spellEnd"/>
      <w:r w:rsidR="007C599D" w:rsidRPr="00733887">
        <w:rPr>
          <w:rFonts w:ascii="Arial" w:hAnsi="Arial" w:cs="Arial"/>
          <w:sz w:val="22"/>
          <w:szCs w:val="22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 w:rsidRPr="00733887">
        <w:rPr>
          <w:rFonts w:ascii="Arial" w:hAnsi="Arial" w:cs="Arial"/>
          <w:b/>
          <w:bCs/>
          <w:sz w:val="22"/>
          <w:szCs w:val="22"/>
        </w:rPr>
        <w:t xml:space="preserve">              </w:t>
      </w:r>
      <w:bookmarkStart w:id="0" w:name="_GoBack"/>
      <w:bookmarkEnd w:id="0"/>
    </w:p>
    <w:p w:rsidR="009C6332" w:rsidRPr="00F5729A" w:rsidRDefault="009C6332" w:rsidP="006070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:rsidR="002D1194" w:rsidRPr="00F5729A" w:rsidRDefault="002D1194" w:rsidP="002D11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:rsidR="002D1194" w:rsidRPr="00F5729A" w:rsidRDefault="002D1194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63325C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5729A">
              <w:rPr>
                <w:rFonts w:ascii="Arial" w:eastAsia="TimesNewRoman" w:hAnsi="Arial" w:cs="Arial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5729A">
              <w:rPr>
                <w:rFonts w:ascii="Arial" w:hAnsi="Arial" w:cs="Arial"/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Реформа контрактной системы. Новые правила, действующие в </w:t>
            </w:r>
            <w:r w:rsidR="00B828EA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2020 году.</w:t>
            </w:r>
            <w:r w:rsidR="00CE0E25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Изменения в контрактной системе </w:t>
            </w:r>
            <w:r w:rsidR="003B5443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в </w:t>
            </w:r>
            <w:r w:rsidR="00733887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>2021 году</w:t>
            </w:r>
            <w:r w:rsidR="003B5443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>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C63218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="00190EE0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Запрос котировок по новым правилам</w:t>
            </w:r>
            <w:r w:rsidR="009A2BE0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>.</w:t>
            </w:r>
            <w:r w:rsidR="00C63218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Реестр контрактов.</w:t>
            </w:r>
          </w:p>
        </w:tc>
      </w:tr>
    </w:tbl>
    <w:p w:rsidR="009C6332" w:rsidRPr="00F5729A" w:rsidRDefault="009C6332" w:rsidP="009C6332">
      <w:pPr>
        <w:jc w:val="both"/>
        <w:rPr>
          <w:rFonts w:ascii="Arial" w:eastAsia="TimesNewRoman" w:hAnsi="Arial" w:cs="Arial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C6332" w:rsidRPr="00F5729A" w:rsidRDefault="009C6332" w:rsidP="009C633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70F20" w:rsidRPr="00F5729A" w:rsidTr="00470F20">
        <w:tc>
          <w:tcPr>
            <w:tcW w:w="8897" w:type="dxa"/>
          </w:tcPr>
          <w:p w:rsidR="00F5729A" w:rsidRDefault="00470F20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="00F5729A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</w:t>
            </w:r>
            <w:r w:rsidR="00DF0A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Ответы на вопросы.</w:t>
            </w:r>
          </w:p>
          <w:p w:rsidR="007967DE" w:rsidRPr="00F5729A" w:rsidRDefault="00F5729A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             </w:t>
            </w:r>
            <w:r w:rsidR="007967DE" w:rsidRPr="00F5729A">
              <w:rPr>
                <w:rFonts w:ascii="Arial" w:hAnsi="Arial" w:cs="Arial"/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.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46E74" w:rsidRPr="00F5729A" w:rsidRDefault="00946E74" w:rsidP="00F5729A">
      <w:pPr>
        <w:rPr>
          <w:rFonts w:ascii="Arial" w:hAnsi="Arial" w:cs="Arial"/>
          <w:sz w:val="22"/>
          <w:szCs w:val="22"/>
        </w:rPr>
      </w:pPr>
    </w:p>
    <w:sectPr w:rsidR="00946E74" w:rsidRPr="00F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5204FEC2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lvlText w:val="3.1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1.8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8DB3C82"/>
    <w:multiLevelType w:val="multilevel"/>
    <w:tmpl w:val="4F8C2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57"/>
    <w:rsid w:val="00051593"/>
    <w:rsid w:val="00086A29"/>
    <w:rsid w:val="00190EE0"/>
    <w:rsid w:val="001B6AE4"/>
    <w:rsid w:val="001D304F"/>
    <w:rsid w:val="001E09AC"/>
    <w:rsid w:val="002A15C3"/>
    <w:rsid w:val="002D1194"/>
    <w:rsid w:val="002F08D8"/>
    <w:rsid w:val="003B5443"/>
    <w:rsid w:val="00404A38"/>
    <w:rsid w:val="00412C34"/>
    <w:rsid w:val="00470F20"/>
    <w:rsid w:val="004717DC"/>
    <w:rsid w:val="00480200"/>
    <w:rsid w:val="004A12A0"/>
    <w:rsid w:val="004C3B92"/>
    <w:rsid w:val="00527DF8"/>
    <w:rsid w:val="005E5A76"/>
    <w:rsid w:val="0060701A"/>
    <w:rsid w:val="0063325C"/>
    <w:rsid w:val="00653C35"/>
    <w:rsid w:val="006C702A"/>
    <w:rsid w:val="00733887"/>
    <w:rsid w:val="00747DFF"/>
    <w:rsid w:val="00776586"/>
    <w:rsid w:val="007967DE"/>
    <w:rsid w:val="007C599D"/>
    <w:rsid w:val="007E7306"/>
    <w:rsid w:val="008E5E76"/>
    <w:rsid w:val="009375FA"/>
    <w:rsid w:val="00946E74"/>
    <w:rsid w:val="009630DE"/>
    <w:rsid w:val="009A2BE0"/>
    <w:rsid w:val="009C6332"/>
    <w:rsid w:val="009F584A"/>
    <w:rsid w:val="00A174AE"/>
    <w:rsid w:val="00A71C58"/>
    <w:rsid w:val="00A86757"/>
    <w:rsid w:val="00AF1F13"/>
    <w:rsid w:val="00B828EA"/>
    <w:rsid w:val="00BC037D"/>
    <w:rsid w:val="00C26971"/>
    <w:rsid w:val="00C36183"/>
    <w:rsid w:val="00C63218"/>
    <w:rsid w:val="00CE0E25"/>
    <w:rsid w:val="00D50915"/>
    <w:rsid w:val="00DF0A57"/>
    <w:rsid w:val="00E56FAF"/>
    <w:rsid w:val="00E65573"/>
    <w:rsid w:val="00E75597"/>
    <w:rsid w:val="00EE793C"/>
    <w:rsid w:val="00F5729A"/>
    <w:rsid w:val="00F62305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2020-03-17T12:55:00Z</cp:lastPrinted>
  <dcterms:created xsi:type="dcterms:W3CDTF">2020-09-07T05:36:00Z</dcterms:created>
  <dcterms:modified xsi:type="dcterms:W3CDTF">2021-03-22T11:30:00Z</dcterms:modified>
</cp:coreProperties>
</file>